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A42FD9" w:rsidRPr="00A42FD9" w:rsidTr="00A42FD9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73097" w:rsidRPr="00F73097" w:rsidRDefault="00F73097" w:rsidP="00F73097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73097" w:rsidRPr="00F73097" w:rsidRDefault="00F73097" w:rsidP="00F73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Советом</w:t>
            </w:r>
            <w:r w:rsidRPr="00F730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вопросам регламентации доступа</w:t>
            </w:r>
            <w:r w:rsidRPr="00F73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0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информации в сети Интернет</w:t>
            </w:r>
          </w:p>
          <w:p w:rsidR="00F73097" w:rsidRPr="00F73097" w:rsidRDefault="00F73097" w:rsidP="00F730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  <w:p w:rsidR="00F73097" w:rsidRPr="00F73097" w:rsidRDefault="00F73097" w:rsidP="00F7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09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F73097" w:rsidRPr="00F73097" w:rsidRDefault="00F73097" w:rsidP="00F73097">
            <w:pPr>
              <w:pStyle w:val="a3"/>
              <w:spacing w:before="0" w:beforeAutospacing="0" w:after="0" w:afterAutospacing="0" w:line="256" w:lineRule="auto"/>
            </w:pPr>
            <w:r w:rsidRPr="00F73097">
              <w:t>от 01 сентября 2015 г</w:t>
            </w:r>
          </w:p>
          <w:p w:rsidR="00A42FD9" w:rsidRPr="00A42FD9" w:rsidRDefault="00A42FD9" w:rsidP="00A42FD9">
            <w:pPr>
              <w:tabs>
                <w:tab w:val="left" w:pos="2850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73097" w:rsidRDefault="00F730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2FD9" w:rsidRPr="00A42FD9" w:rsidRDefault="00A42FD9">
            <w:pPr>
              <w:spacing w:after="0" w:line="240" w:lineRule="auto"/>
              <w:jc w:val="right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42FD9" w:rsidRPr="00A42FD9" w:rsidRDefault="00A42F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A42FD9" w:rsidRPr="00A42FD9" w:rsidRDefault="00A42FD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  <w:p w:rsidR="00A42FD9" w:rsidRPr="00A42FD9" w:rsidRDefault="00E449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280/2</w:t>
            </w:r>
          </w:p>
          <w:p w:rsidR="00A42FD9" w:rsidRPr="00A42FD9" w:rsidRDefault="00A42FD9">
            <w:pPr>
              <w:pStyle w:val="a3"/>
              <w:spacing w:before="0" w:beforeAutospacing="0" w:after="0" w:afterAutospacing="0" w:line="256" w:lineRule="auto"/>
              <w:jc w:val="right"/>
            </w:pPr>
            <w:r w:rsidRPr="00A42FD9">
              <w:t>от 01 сентября 2015 г</w:t>
            </w:r>
          </w:p>
          <w:p w:rsidR="00A42FD9" w:rsidRPr="00A42FD9" w:rsidRDefault="00A4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874C0E" w:rsidRPr="00A42FD9" w:rsidRDefault="00874C0E" w:rsidP="00874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259" w:rsidRPr="00A42FD9" w:rsidRDefault="00372259" w:rsidP="00874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FD9">
        <w:rPr>
          <w:rFonts w:ascii="Times New Roman" w:hAnsi="Times New Roman"/>
          <w:b/>
          <w:sz w:val="24"/>
          <w:szCs w:val="24"/>
        </w:rPr>
        <w:t>Классификатор информации,</w:t>
      </w:r>
      <w:r w:rsidR="003537A3" w:rsidRPr="00A42FD9">
        <w:rPr>
          <w:rFonts w:ascii="Times New Roman" w:hAnsi="Times New Roman"/>
          <w:b/>
          <w:sz w:val="24"/>
          <w:szCs w:val="24"/>
        </w:rPr>
        <w:t xml:space="preserve"> </w:t>
      </w:r>
      <w:r w:rsidRPr="00A42FD9">
        <w:rPr>
          <w:rFonts w:ascii="Times New Roman" w:hAnsi="Times New Roman"/>
          <w:b/>
          <w:sz w:val="24"/>
          <w:szCs w:val="24"/>
        </w:rPr>
        <w:t>не соответствующей задачам образования.</w:t>
      </w:r>
    </w:p>
    <w:p w:rsidR="00372259" w:rsidRPr="00A42FD9" w:rsidRDefault="00372259" w:rsidP="00874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372259" w:rsidRPr="00A42FD9" w:rsidTr="00AD4DE0">
        <w:trPr>
          <w:jc w:val="center"/>
        </w:trPr>
        <w:tc>
          <w:tcPr>
            <w:tcW w:w="817" w:type="dxa"/>
            <w:vAlign w:val="center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Align w:val="center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Тематическая категория</w:t>
            </w:r>
          </w:p>
        </w:tc>
        <w:tc>
          <w:tcPr>
            <w:tcW w:w="5352" w:type="dxa"/>
            <w:vAlign w:val="center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Алкоголь.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Реклама алкоголя, проп</w:t>
            </w:r>
            <w:r w:rsidR="00837394" w:rsidRPr="00A42F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ганда потребления алкоголя. Сайты компаний, производящих алкогольную продукцию.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Баннеры и рекламные программы.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Баннерные сети, всплывающая реклама, рекламные программы.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Не имеющая к образовательному процессу информация: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фотоальбомы и фотоконкурсы;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рейтинги открыток, гороскопов, сонников;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гадания, магия, астрология;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– программы;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прогнозы погоды;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тесты, конкурсы онлайн;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туризм, путешествия;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тосты, поздравления;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- кроссворды,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сканворды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>, ответы к ним;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фантастика;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кулинария, рецепты, диеты;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мода, одежда, обувь, модные аксессуары, показы мод;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- о дачах, участках, огородах, садах, цветоводстве, животных, питомцах, уходе за ними;</w:t>
            </w:r>
            <w:proofErr w:type="gramEnd"/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о службах знакомств, размещении объявлений онлайн;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анекдоты, «приколы», слухи;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о сайтах и журналах для женщин и для мужчин;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желтая пресса, онлайн – ТВ, онлайн – радио;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- о знаменитостях;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- о косметике, парфюмерии, прическах, ювелирных украшениях.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</w:t>
            </w: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сути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могут быть также отнесены к другим категориям (порнография, трупы и т.п.).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браузерных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игр, массовые многопользовательские ролевые онлайн игры (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MMORPG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игр, игровые форумы и чаты.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Корпоративные сайты, </w:t>
            </w: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интернет-представительства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негосударственных учреждений (ресурсы данной категории, не имеющие отношения к образовательному процессу). 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имиджборды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анонимайзеры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, программы, обеспечивающие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анонимизацию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сетевого трафика в сети «Интернет» (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tor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2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  <w:proofErr w:type="gramEnd"/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Личная и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немодерируемая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информация.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Немодерируемые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блоги.</w:t>
            </w:r>
            <w:proofErr w:type="gramEnd"/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Онлайн – казино и </w:t>
            </w: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тотализаторы.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продукция (в том числе сайты, </w:t>
            </w: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Отправка 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 xml:space="preserve"> с использованием интерне</w:t>
            </w: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ресурсов.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Сайты, предлагающие услуги по отправке 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 xml:space="preserve"> – сообщений.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Мошеннические сайты.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Сайты, навязывающие платные услуги на базе 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 xml:space="preserve"> – платежей, сайты, обманным путем собирающие личную информацию (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фишинг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Модерируемые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Сайты, содержащие информацию, не имеющую отношения к образовательному процессу,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модерируемые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модерируемые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чаты.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  <w:proofErr w:type="gramEnd"/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Информационая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продукция, оказывающая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психологичское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Неприличный и грубый юмор.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Нижнее белье, купальники.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Обеспечение анонимности пользователя, обход контентных фильтров.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Сайты, предоставляющие инструкции по обходу прокси и доступа к запрещенным страницам; 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2FD9"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Платные сай</w:t>
            </w:r>
            <w:bookmarkStart w:id="0" w:name="_GoBack"/>
            <w:bookmarkEnd w:id="0"/>
            <w:r w:rsidRPr="00A42FD9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Сайты, на которых вывешено объявление о платности посещения веб-страниц.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кадровых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агенств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>, банки вакансий и резюме.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интернет-каталоги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>, системы поиска и навигации в сети «Интернет».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Религия и атеизм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Системы поиска изображений.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СМИ (ресурсы данной категории, не имеющие </w:t>
            </w: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образовательнму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СМИ, содержащие новостные ресурсы и сайты СМИ (радио, телевидения, печати), не имеющие </w:t>
            </w: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образовательному процессу.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 xml:space="preserve">Не имеющие отношения к образовательному процессу сайты </w:t>
            </w: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анонимного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общенияи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Убийства, насилие.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372259" w:rsidRPr="00A42FD9" w:rsidTr="00AD4DE0">
        <w:trPr>
          <w:jc w:val="center"/>
        </w:trPr>
        <w:tc>
          <w:tcPr>
            <w:tcW w:w="817" w:type="dxa"/>
          </w:tcPr>
          <w:p w:rsidR="00372259" w:rsidRPr="00A42FD9" w:rsidRDefault="00372259" w:rsidP="0087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D9">
              <w:rPr>
                <w:rFonts w:ascii="Times New Roman" w:hAnsi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</w:tcPr>
          <w:p w:rsidR="00372259" w:rsidRPr="00A42FD9" w:rsidRDefault="00372259" w:rsidP="0087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Не имеющие отношения к образовательному процессу сайты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следубщих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 xml:space="preserve"> категорий: аукционы, </w:t>
            </w:r>
            <w:proofErr w:type="spellStart"/>
            <w:r w:rsidRPr="00A42FD9">
              <w:rPr>
                <w:rFonts w:ascii="Times New Roman" w:hAnsi="Times New Roman"/>
                <w:sz w:val="24"/>
                <w:szCs w:val="24"/>
              </w:rPr>
              <w:t>онлайн-распродажи</w:t>
            </w:r>
            <w:proofErr w:type="spellEnd"/>
            <w:r w:rsidRPr="00A42FD9">
              <w:rPr>
                <w:rFonts w:ascii="Times New Roman" w:hAnsi="Times New Roman"/>
                <w:sz w:val="24"/>
                <w:szCs w:val="24"/>
              </w:rPr>
              <w:t>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аренда/покупка/продажа недвижимости, продажа услуг мобильной связи (например</w:t>
            </w:r>
            <w:proofErr w:type="gramEnd"/>
            <w:r w:rsidRPr="00A42FD9">
              <w:rPr>
                <w:rFonts w:ascii="Times New Roman" w:hAnsi="Times New Roman"/>
                <w:sz w:val="24"/>
                <w:szCs w:val="24"/>
              </w:rPr>
              <w:t>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372259" w:rsidRPr="00A42FD9" w:rsidRDefault="00372259" w:rsidP="00874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2259" w:rsidRPr="00A42FD9" w:rsidSect="00372259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69" w:rsidRDefault="00783A69" w:rsidP="00F50F64">
      <w:pPr>
        <w:spacing w:after="0" w:line="240" w:lineRule="auto"/>
      </w:pPr>
      <w:r>
        <w:separator/>
      </w:r>
    </w:p>
  </w:endnote>
  <w:endnote w:type="continuationSeparator" w:id="0">
    <w:p w:rsidR="00783A69" w:rsidRDefault="00783A69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0234"/>
      <w:docPartObj>
        <w:docPartGallery w:val="Page Numbers (Bottom of Page)"/>
        <w:docPartUnique/>
      </w:docPartObj>
    </w:sdtPr>
    <w:sdtContent>
      <w:p w:rsidR="00F50F64" w:rsidRDefault="009F2AC4">
        <w:pPr>
          <w:pStyle w:val="a6"/>
          <w:jc w:val="center"/>
        </w:pPr>
        <w:fldSimple w:instr=" PAGE   \* MERGEFORMAT ">
          <w:r w:rsidR="00E449BC">
            <w:rPr>
              <w:noProof/>
            </w:rPr>
            <w:t>1</w:t>
          </w:r>
        </w:fldSimple>
      </w:p>
    </w:sdtContent>
  </w:sdt>
  <w:p w:rsidR="00F50F64" w:rsidRDefault="00F50F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69" w:rsidRDefault="00783A69" w:rsidP="00F50F64">
      <w:pPr>
        <w:spacing w:after="0" w:line="240" w:lineRule="auto"/>
      </w:pPr>
      <w:r>
        <w:separator/>
      </w:r>
    </w:p>
  </w:footnote>
  <w:footnote w:type="continuationSeparator" w:id="0">
    <w:p w:rsidR="00783A69" w:rsidRDefault="00783A69" w:rsidP="00F5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259"/>
    <w:rsid w:val="002674EF"/>
    <w:rsid w:val="003537A3"/>
    <w:rsid w:val="00372259"/>
    <w:rsid w:val="00585900"/>
    <w:rsid w:val="005A5A3D"/>
    <w:rsid w:val="005F5563"/>
    <w:rsid w:val="006F6A46"/>
    <w:rsid w:val="00783A69"/>
    <w:rsid w:val="007D0526"/>
    <w:rsid w:val="008362A0"/>
    <w:rsid w:val="00837394"/>
    <w:rsid w:val="00874C0E"/>
    <w:rsid w:val="009F2AC4"/>
    <w:rsid w:val="00A42FD9"/>
    <w:rsid w:val="00AB4619"/>
    <w:rsid w:val="00AD4DE0"/>
    <w:rsid w:val="00E00025"/>
    <w:rsid w:val="00E449BC"/>
    <w:rsid w:val="00F50F64"/>
    <w:rsid w:val="00F7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F6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5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F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user401</cp:lastModifiedBy>
  <cp:revision>8</cp:revision>
  <dcterms:created xsi:type="dcterms:W3CDTF">2014-12-10T16:35:00Z</dcterms:created>
  <dcterms:modified xsi:type="dcterms:W3CDTF">2016-05-27T13:17:00Z</dcterms:modified>
</cp:coreProperties>
</file>